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3C20A4" w:rsidTr="003C20A4">
        <w:tc>
          <w:tcPr>
            <w:tcW w:w="4642" w:type="dxa"/>
          </w:tcPr>
          <w:p w:rsidR="003C20A4" w:rsidRDefault="00C657CA" w:rsidP="003C20A4">
            <w:pPr>
              <w:pStyle w:val="ae"/>
              <w:tabs>
                <w:tab w:val="left" w:pos="8677"/>
              </w:tabs>
              <w:autoSpaceDE w:val="0"/>
              <w:autoSpaceDN w:val="0"/>
              <w:adjustRightInd w:val="0"/>
              <w:ind w:left="709"/>
              <w:jc w:val="center"/>
              <w:rPr>
                <w:sz w:val="28"/>
                <w:szCs w:val="28"/>
              </w:rPr>
            </w:pPr>
            <w:proofErr w:type="gramStart"/>
            <w:r>
              <w:rPr>
                <w:sz w:val="28"/>
                <w:szCs w:val="28"/>
              </w:rPr>
              <w:t>Одобрен</w:t>
            </w:r>
            <w:proofErr w:type="gramEnd"/>
            <w:r>
              <w:rPr>
                <w:sz w:val="28"/>
                <w:szCs w:val="28"/>
              </w:rPr>
              <w:t xml:space="preserve"> на заседании комиссии </w:t>
            </w:r>
            <w:r w:rsidRPr="00C657CA">
              <w:rPr>
                <w:sz w:val="28"/>
                <w:szCs w:val="28"/>
              </w:rPr>
              <w:t>Управления по соблюдению требований к служебному поведению федеральных государственных служащих и урегулированию конфликта интересов</w:t>
            </w:r>
          </w:p>
          <w:p w:rsidR="00C657CA" w:rsidRPr="00643CE5" w:rsidRDefault="000E4DAD" w:rsidP="003C20A4">
            <w:pPr>
              <w:pStyle w:val="ae"/>
              <w:tabs>
                <w:tab w:val="left" w:pos="8677"/>
              </w:tabs>
              <w:autoSpaceDE w:val="0"/>
              <w:autoSpaceDN w:val="0"/>
              <w:adjustRightInd w:val="0"/>
              <w:ind w:left="709"/>
              <w:jc w:val="center"/>
              <w:rPr>
                <w:sz w:val="28"/>
                <w:szCs w:val="28"/>
              </w:rPr>
            </w:pPr>
            <w:r>
              <w:rPr>
                <w:sz w:val="28"/>
                <w:szCs w:val="28"/>
              </w:rPr>
              <w:t xml:space="preserve">от 06 декабря 2023 </w:t>
            </w:r>
            <w:r w:rsidR="00C657CA">
              <w:rPr>
                <w:sz w:val="28"/>
                <w:szCs w:val="28"/>
              </w:rPr>
              <w:t>г.</w:t>
            </w:r>
          </w:p>
          <w:p w:rsidR="003C20A4" w:rsidRDefault="003C20A4" w:rsidP="00643CE5">
            <w:pPr>
              <w:pStyle w:val="ae"/>
              <w:tabs>
                <w:tab w:val="left" w:pos="8677"/>
              </w:tabs>
              <w:autoSpaceDE w:val="0"/>
              <w:autoSpaceDN w:val="0"/>
              <w:adjustRightInd w:val="0"/>
              <w:ind w:left="0"/>
              <w:jc w:val="right"/>
              <w:rPr>
                <w:sz w:val="28"/>
                <w:szCs w:val="28"/>
              </w:rPr>
            </w:pPr>
          </w:p>
        </w:tc>
      </w:tr>
    </w:tbl>
    <w:p w:rsidR="003C20A4" w:rsidRDefault="003C20A4" w:rsidP="00643CE5">
      <w:pPr>
        <w:pStyle w:val="ae"/>
        <w:tabs>
          <w:tab w:val="left" w:pos="8677"/>
        </w:tabs>
        <w:autoSpaceDE w:val="0"/>
        <w:autoSpaceDN w:val="0"/>
        <w:adjustRightInd w:val="0"/>
        <w:ind w:left="709"/>
        <w:jc w:val="right"/>
        <w:rPr>
          <w:sz w:val="28"/>
          <w:szCs w:val="28"/>
        </w:rPr>
      </w:pPr>
    </w:p>
    <w:p w:rsidR="00643CE5" w:rsidRPr="00643CE5" w:rsidRDefault="00643CE5" w:rsidP="00643CE5">
      <w:pPr>
        <w:pStyle w:val="ae"/>
        <w:tabs>
          <w:tab w:val="left" w:pos="993"/>
        </w:tabs>
        <w:autoSpaceDE w:val="0"/>
        <w:autoSpaceDN w:val="0"/>
        <w:adjustRightInd w:val="0"/>
        <w:ind w:left="709"/>
        <w:jc w:val="both"/>
        <w:rPr>
          <w:sz w:val="28"/>
          <w:szCs w:val="28"/>
        </w:rPr>
      </w:pPr>
    </w:p>
    <w:p w:rsidR="00643CE5" w:rsidRPr="00643CE5" w:rsidRDefault="00643CE5" w:rsidP="00643CE5">
      <w:pPr>
        <w:pStyle w:val="ae"/>
        <w:tabs>
          <w:tab w:val="left" w:pos="993"/>
        </w:tabs>
        <w:autoSpaceDE w:val="0"/>
        <w:autoSpaceDN w:val="0"/>
        <w:adjustRightInd w:val="0"/>
        <w:ind w:left="709"/>
        <w:jc w:val="both"/>
        <w:rPr>
          <w:sz w:val="28"/>
          <w:szCs w:val="28"/>
        </w:rPr>
      </w:pPr>
    </w:p>
    <w:p w:rsidR="00643CE5" w:rsidRDefault="00643CE5" w:rsidP="00643CE5">
      <w:pPr>
        <w:pStyle w:val="ae"/>
        <w:tabs>
          <w:tab w:val="left" w:pos="993"/>
        </w:tabs>
        <w:autoSpaceDE w:val="0"/>
        <w:autoSpaceDN w:val="0"/>
        <w:adjustRightInd w:val="0"/>
        <w:ind w:left="709"/>
        <w:jc w:val="center"/>
        <w:rPr>
          <w:b/>
          <w:sz w:val="28"/>
          <w:szCs w:val="28"/>
        </w:rPr>
      </w:pPr>
      <w:r w:rsidRPr="00643CE5">
        <w:rPr>
          <w:b/>
          <w:sz w:val="28"/>
          <w:szCs w:val="28"/>
        </w:rPr>
        <w:t>Перечень</w:t>
      </w:r>
    </w:p>
    <w:p w:rsidR="00643CE5" w:rsidRDefault="00643CE5" w:rsidP="00643CE5">
      <w:pPr>
        <w:pStyle w:val="ae"/>
        <w:tabs>
          <w:tab w:val="left" w:pos="993"/>
        </w:tabs>
        <w:autoSpaceDE w:val="0"/>
        <w:autoSpaceDN w:val="0"/>
        <w:adjustRightInd w:val="0"/>
        <w:ind w:left="709"/>
        <w:jc w:val="center"/>
        <w:rPr>
          <w:b/>
          <w:sz w:val="28"/>
          <w:szCs w:val="28"/>
        </w:rPr>
      </w:pPr>
      <w:r w:rsidRPr="00643CE5">
        <w:rPr>
          <w:b/>
          <w:sz w:val="28"/>
          <w:szCs w:val="28"/>
        </w:rPr>
        <w:t xml:space="preserve">коррупционно-опасных функций </w:t>
      </w:r>
    </w:p>
    <w:p w:rsidR="00643CE5" w:rsidRPr="00643CE5" w:rsidRDefault="00643CE5" w:rsidP="00643CE5">
      <w:pPr>
        <w:pStyle w:val="ae"/>
        <w:tabs>
          <w:tab w:val="left" w:pos="993"/>
        </w:tabs>
        <w:autoSpaceDE w:val="0"/>
        <w:autoSpaceDN w:val="0"/>
        <w:adjustRightInd w:val="0"/>
        <w:ind w:left="709"/>
        <w:jc w:val="center"/>
        <w:rPr>
          <w:b/>
          <w:sz w:val="28"/>
          <w:szCs w:val="28"/>
        </w:rPr>
      </w:pPr>
      <w:r w:rsidRPr="00643CE5">
        <w:rPr>
          <w:b/>
          <w:sz w:val="28"/>
          <w:szCs w:val="28"/>
        </w:rPr>
        <w:t xml:space="preserve">Управления Роскомнадзора по </w:t>
      </w:r>
      <w:r w:rsidR="003C20A4">
        <w:rPr>
          <w:b/>
          <w:sz w:val="28"/>
          <w:szCs w:val="28"/>
        </w:rPr>
        <w:t>Тамбовской</w:t>
      </w:r>
      <w:r w:rsidRPr="00643CE5">
        <w:rPr>
          <w:b/>
          <w:sz w:val="28"/>
          <w:szCs w:val="28"/>
        </w:rPr>
        <w:t xml:space="preserve"> области, при реализации которых наиболее вероятно возникновение коррупции</w:t>
      </w:r>
    </w:p>
    <w:p w:rsidR="00643CE5" w:rsidRPr="005F071E" w:rsidRDefault="00643CE5" w:rsidP="00643CE5">
      <w:pPr>
        <w:pStyle w:val="ae"/>
        <w:tabs>
          <w:tab w:val="left" w:pos="993"/>
        </w:tabs>
        <w:autoSpaceDE w:val="0"/>
        <w:autoSpaceDN w:val="0"/>
        <w:adjustRightInd w:val="0"/>
        <w:ind w:left="709"/>
        <w:jc w:val="both"/>
        <w:rPr>
          <w:sz w:val="28"/>
          <w:szCs w:val="28"/>
        </w:rPr>
      </w:pPr>
    </w:p>
    <w:p w:rsidR="00A87BD6" w:rsidRPr="00A87BD6" w:rsidRDefault="00A87BD6" w:rsidP="00A87BD6">
      <w:pPr>
        <w:ind w:firstLine="709"/>
        <w:jc w:val="both"/>
        <w:rPr>
          <w:szCs w:val="28"/>
        </w:rPr>
      </w:pPr>
      <w:r w:rsidRPr="00A87BD6">
        <w:rPr>
          <w:szCs w:val="28"/>
        </w:rPr>
        <w:t>1. Функции по контролю и надзору.</w:t>
      </w:r>
    </w:p>
    <w:p w:rsidR="00A87BD6" w:rsidRPr="00A87BD6" w:rsidRDefault="00A87BD6" w:rsidP="00A87BD6">
      <w:pPr>
        <w:ind w:firstLine="709"/>
        <w:jc w:val="both"/>
        <w:rPr>
          <w:szCs w:val="28"/>
        </w:rPr>
      </w:pPr>
      <w:r w:rsidRPr="00A87BD6">
        <w:rPr>
          <w:szCs w:val="28"/>
        </w:rPr>
        <w:t>1.1. Функции по контролю и надзору в сфере средств массовой информации, в том числе электронных, и массовых коммуникаций;</w:t>
      </w:r>
    </w:p>
    <w:p w:rsidR="00A87BD6" w:rsidRPr="00A87BD6" w:rsidRDefault="00A87BD6" w:rsidP="00A87BD6">
      <w:pPr>
        <w:ind w:firstLine="709"/>
        <w:jc w:val="both"/>
        <w:rPr>
          <w:szCs w:val="28"/>
        </w:rPr>
      </w:pPr>
      <w:r w:rsidRPr="00A87BD6">
        <w:rPr>
          <w:szCs w:val="28"/>
        </w:rPr>
        <w:t>1.2. Функции по контролю и надзору в сфере информационных технологий и связи;</w:t>
      </w:r>
    </w:p>
    <w:p w:rsidR="00A87BD6" w:rsidRPr="00A87BD6" w:rsidRDefault="00A87BD6" w:rsidP="00A87BD6">
      <w:pPr>
        <w:ind w:firstLine="709"/>
        <w:jc w:val="both"/>
        <w:rPr>
          <w:bCs/>
          <w:szCs w:val="28"/>
        </w:rPr>
      </w:pPr>
      <w:r w:rsidRPr="00A87BD6">
        <w:rPr>
          <w:szCs w:val="28"/>
        </w:rPr>
        <w:t xml:space="preserve">1.3. Функции по контролю и надзору за </w:t>
      </w:r>
      <w:r w:rsidRPr="00A87BD6">
        <w:rPr>
          <w:bCs/>
          <w:szCs w:val="28"/>
        </w:rPr>
        <w:t>соответствием обработки персональных данных требованиям законодательства Российской Федерации в области персональных данных.</w:t>
      </w:r>
    </w:p>
    <w:p w:rsidR="00A87BD6" w:rsidRPr="00A87BD6" w:rsidRDefault="00A87BD6" w:rsidP="00A87BD6">
      <w:pPr>
        <w:ind w:firstLine="709"/>
        <w:jc w:val="both"/>
        <w:rPr>
          <w:bCs/>
          <w:szCs w:val="28"/>
        </w:rPr>
      </w:pPr>
      <w:r w:rsidRPr="00A87BD6">
        <w:rPr>
          <w:bCs/>
          <w:szCs w:val="28"/>
        </w:rPr>
        <w:t>2. Функции по регистрации.</w:t>
      </w:r>
    </w:p>
    <w:p w:rsidR="00A87BD6" w:rsidRPr="00A87BD6" w:rsidRDefault="00A87BD6" w:rsidP="00A87BD6">
      <w:pPr>
        <w:ind w:firstLine="709"/>
        <w:jc w:val="both"/>
        <w:rPr>
          <w:szCs w:val="28"/>
        </w:rPr>
      </w:pPr>
      <w:r w:rsidRPr="00A87BD6">
        <w:rPr>
          <w:bCs/>
          <w:szCs w:val="28"/>
        </w:rPr>
        <w:t>2.1.</w:t>
      </w:r>
      <w:r w:rsidRPr="00A87BD6">
        <w:rPr>
          <w:szCs w:val="28"/>
        </w:rPr>
        <w:t xml:space="preserve"> Функции по регистрации средств массовой информации, продукция которых предназначена для распространения на территории Тамбовской области, на территории муниципального образования;</w:t>
      </w:r>
    </w:p>
    <w:p w:rsidR="00A87BD6" w:rsidRPr="00A87BD6" w:rsidRDefault="00A87BD6" w:rsidP="00A87BD6">
      <w:pPr>
        <w:ind w:firstLine="709"/>
        <w:jc w:val="both"/>
        <w:rPr>
          <w:szCs w:val="28"/>
        </w:rPr>
      </w:pPr>
      <w:r w:rsidRPr="00A87BD6">
        <w:rPr>
          <w:szCs w:val="28"/>
        </w:rPr>
        <w:t>2.2. Функции по регистрации радиоэлектронных средств и высокочастотных устрой</w:t>
      </w:r>
      <w:proofErr w:type="gramStart"/>
      <w:r w:rsidRPr="00A87BD6">
        <w:rPr>
          <w:szCs w:val="28"/>
        </w:rPr>
        <w:t>ств   гр</w:t>
      </w:r>
      <w:proofErr w:type="gramEnd"/>
      <w:r w:rsidRPr="00A87BD6">
        <w:rPr>
          <w:szCs w:val="28"/>
        </w:rPr>
        <w:t xml:space="preserve">ажданского   назначения,   использование   которых   планируется  </w:t>
      </w:r>
      <w:r w:rsidRPr="00A87BD6">
        <w:rPr>
          <w:bCs/>
          <w:szCs w:val="28"/>
        </w:rPr>
        <w:t xml:space="preserve"> </w:t>
      </w:r>
      <w:r w:rsidRPr="00A87BD6">
        <w:rPr>
          <w:szCs w:val="28"/>
        </w:rPr>
        <w:t>на территории Тамбовской области.</w:t>
      </w:r>
    </w:p>
    <w:p w:rsidR="00A87BD6" w:rsidRPr="00A87BD6" w:rsidRDefault="00A87BD6" w:rsidP="00A87BD6">
      <w:pPr>
        <w:ind w:firstLine="709"/>
        <w:jc w:val="both"/>
        <w:rPr>
          <w:szCs w:val="28"/>
        </w:rPr>
      </w:pPr>
      <w:r w:rsidRPr="00A87BD6">
        <w:rPr>
          <w:szCs w:val="28"/>
        </w:rPr>
        <w:t>3. Функции по выдаче разрешений.</w:t>
      </w:r>
    </w:p>
    <w:p w:rsidR="00A87BD6" w:rsidRPr="00A87BD6" w:rsidRDefault="00A87BD6" w:rsidP="00A87BD6">
      <w:pPr>
        <w:tabs>
          <w:tab w:val="left" w:pos="0"/>
        </w:tabs>
        <w:ind w:firstLine="709"/>
        <w:jc w:val="both"/>
        <w:rPr>
          <w:b/>
          <w:i/>
          <w:szCs w:val="28"/>
        </w:rPr>
      </w:pPr>
      <w:r w:rsidRPr="00A87BD6">
        <w:rPr>
          <w:szCs w:val="28"/>
        </w:rPr>
        <w:t xml:space="preserve">3.1. </w:t>
      </w:r>
      <w:r w:rsidRPr="00A87BD6">
        <w:rPr>
          <w:bCs/>
          <w:szCs w:val="28"/>
        </w:rPr>
        <w:t xml:space="preserve"> </w:t>
      </w:r>
      <w:r w:rsidRPr="00A87BD6">
        <w:rPr>
          <w:szCs w:val="28"/>
        </w:rPr>
        <w:t>Функции по выдаче разрешений на применение франкировальных машин, используемых на территории Тамбовской области;</w:t>
      </w:r>
    </w:p>
    <w:p w:rsidR="00A87BD6" w:rsidRPr="00A87BD6" w:rsidRDefault="00A87BD6" w:rsidP="00A87BD6">
      <w:pPr>
        <w:tabs>
          <w:tab w:val="left" w:pos="0"/>
        </w:tabs>
        <w:ind w:firstLine="709"/>
        <w:jc w:val="both"/>
        <w:rPr>
          <w:bCs/>
          <w:szCs w:val="28"/>
        </w:rPr>
      </w:pPr>
      <w:r w:rsidRPr="00A87BD6">
        <w:rPr>
          <w:szCs w:val="28"/>
        </w:rPr>
        <w:t xml:space="preserve">3.2. </w:t>
      </w:r>
      <w:proofErr w:type="gramStart"/>
      <w:r w:rsidRPr="00A87BD6">
        <w:rPr>
          <w:szCs w:val="28"/>
        </w:rPr>
        <w:t xml:space="preserve">Функции по выдаче разрешений </w:t>
      </w:r>
      <w:r w:rsidRPr="00A87BD6">
        <w:rPr>
          <w:bCs/>
          <w:szCs w:val="28"/>
        </w:rPr>
        <w:t>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собственниками судна или используют его на условиях аренды или на ином законном основании.</w:t>
      </w:r>
      <w:proofErr w:type="gramEnd"/>
    </w:p>
    <w:p w:rsidR="00A87BD6" w:rsidRPr="00A87BD6" w:rsidRDefault="00A87BD6" w:rsidP="00A87BD6">
      <w:pPr>
        <w:ind w:firstLine="709"/>
        <w:jc w:val="both"/>
        <w:rPr>
          <w:szCs w:val="28"/>
        </w:rPr>
      </w:pPr>
      <w:r w:rsidRPr="00A87BD6">
        <w:rPr>
          <w:szCs w:val="28"/>
        </w:rPr>
        <w:t>4. Функции по размещению заказов.</w:t>
      </w:r>
    </w:p>
    <w:p w:rsidR="00A87BD6" w:rsidRPr="00A87BD6" w:rsidRDefault="00A87BD6" w:rsidP="00A87BD6">
      <w:pPr>
        <w:ind w:firstLine="709"/>
        <w:jc w:val="both"/>
        <w:rPr>
          <w:szCs w:val="28"/>
        </w:rPr>
      </w:pPr>
      <w:r w:rsidRPr="00A87BD6">
        <w:rPr>
          <w:szCs w:val="28"/>
        </w:rPr>
        <w:t xml:space="preserve">4.1.Функции по размещению заказов и заключению государственных контрактов, а также иных гражданско-правовых договоров  на поставку товаров, выполнение работ, оказание услуг для обеспечения нужд </w:t>
      </w:r>
      <w:proofErr w:type="gramStart"/>
      <w:r w:rsidRPr="00A87BD6">
        <w:rPr>
          <w:szCs w:val="28"/>
        </w:rPr>
        <w:t>Управления</w:t>
      </w:r>
      <w:proofErr w:type="gramEnd"/>
      <w:r w:rsidRPr="00A87BD6">
        <w:rPr>
          <w:szCs w:val="28"/>
        </w:rPr>
        <w:t xml:space="preserve"> в пределах доведенных до него лимитов бюджетных средств;</w:t>
      </w:r>
    </w:p>
    <w:p w:rsidR="00A87BD6" w:rsidRPr="00A87BD6" w:rsidRDefault="00A87BD6" w:rsidP="00A87BD6">
      <w:pPr>
        <w:ind w:firstLine="709"/>
        <w:jc w:val="both"/>
        <w:rPr>
          <w:szCs w:val="28"/>
        </w:rPr>
      </w:pPr>
      <w:r w:rsidRPr="00A87BD6">
        <w:rPr>
          <w:szCs w:val="28"/>
        </w:rPr>
        <w:lastRenderedPageBreak/>
        <w:t>4.2. Функции получателя средств федерального бюджета в части средств, предусмотренных на содержание Управления и реализацию возложенных на него функций.</w:t>
      </w:r>
    </w:p>
    <w:p w:rsidR="00A87BD6" w:rsidRPr="00A87BD6" w:rsidRDefault="00A87BD6" w:rsidP="00A87BD6">
      <w:pPr>
        <w:ind w:firstLine="709"/>
        <w:jc w:val="both"/>
        <w:rPr>
          <w:szCs w:val="28"/>
        </w:rPr>
      </w:pPr>
      <w:r w:rsidRPr="00A87BD6">
        <w:rPr>
          <w:szCs w:val="28"/>
        </w:rPr>
        <w:t>5. Функции по принятию мер административного воздействия.</w:t>
      </w:r>
    </w:p>
    <w:p w:rsidR="00A87BD6" w:rsidRPr="00A87BD6" w:rsidRDefault="00A87BD6" w:rsidP="00A87BD6">
      <w:pPr>
        <w:ind w:firstLine="709"/>
        <w:jc w:val="both"/>
        <w:rPr>
          <w:szCs w:val="28"/>
        </w:rPr>
      </w:pPr>
      <w:r w:rsidRPr="00A87BD6">
        <w:rPr>
          <w:szCs w:val="28"/>
        </w:rPr>
        <w:t>5.1. 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w:t>
      </w:r>
    </w:p>
    <w:p w:rsidR="00A87BD6" w:rsidRPr="00A87BD6" w:rsidRDefault="00A87BD6" w:rsidP="00A87BD6">
      <w:pPr>
        <w:ind w:firstLine="709"/>
        <w:jc w:val="both"/>
        <w:rPr>
          <w:szCs w:val="28"/>
        </w:rPr>
      </w:pPr>
      <w:r w:rsidRPr="00A87BD6">
        <w:rPr>
          <w:szCs w:val="28"/>
        </w:rPr>
        <w:t>5.2. Рассматривать в случаях и порядке, установленных законодательством Российской Федерации,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 виновных в нарушении лицензионных условий, а также иных обязательных требований в установленной сфере деятельности;</w:t>
      </w:r>
    </w:p>
    <w:p w:rsidR="00A87BD6" w:rsidRPr="00A87BD6" w:rsidRDefault="00A87BD6" w:rsidP="00A87BD6">
      <w:pPr>
        <w:ind w:firstLine="709"/>
        <w:jc w:val="both"/>
        <w:rPr>
          <w:szCs w:val="28"/>
        </w:rPr>
      </w:pPr>
      <w:r w:rsidRPr="00A87BD6">
        <w:rPr>
          <w:szCs w:val="28"/>
        </w:rPr>
        <w:t xml:space="preserve">5.3. Выносить предупреждения по фактам нарушения законодательства Российской Федерации о средствах массовой информации учредителям и (или) редакциям (главным редакторам) средств массовой информации, зарегистрированным Управление, предъявлять иски в суд о приостановлении, прекращении деятельности средств массовой информации, признании свидетельств о регистрации средств массовой информации </w:t>
      </w:r>
      <w:proofErr w:type="gramStart"/>
      <w:r w:rsidRPr="00A87BD6">
        <w:rPr>
          <w:szCs w:val="28"/>
        </w:rPr>
        <w:t>недействительными</w:t>
      </w:r>
      <w:proofErr w:type="gramEnd"/>
      <w:r w:rsidRPr="00A87BD6">
        <w:rPr>
          <w:szCs w:val="28"/>
        </w:rPr>
        <w:t>;</w:t>
      </w:r>
    </w:p>
    <w:p w:rsidR="00A87BD6" w:rsidRPr="00A87BD6" w:rsidRDefault="00A87BD6" w:rsidP="00A87BD6">
      <w:pPr>
        <w:ind w:firstLine="709"/>
        <w:jc w:val="both"/>
        <w:rPr>
          <w:szCs w:val="28"/>
        </w:rPr>
      </w:pPr>
      <w:r w:rsidRPr="00A87BD6">
        <w:rPr>
          <w:szCs w:val="28"/>
        </w:rPr>
        <w:t xml:space="preserve">5.4. В порядке и случаях, установленных законодательством Российской Федерации, применять в установленной сфере деятельности меры профилактического и </w:t>
      </w:r>
      <w:proofErr w:type="spellStart"/>
      <w:r w:rsidRPr="00A87BD6">
        <w:rPr>
          <w:szCs w:val="28"/>
        </w:rPr>
        <w:t>пресекательного</w:t>
      </w:r>
      <w:proofErr w:type="spellEnd"/>
      <w:r w:rsidRPr="00A87BD6">
        <w:rPr>
          <w:szCs w:val="28"/>
        </w:rPr>
        <w:t xml:space="preserve">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A87BD6" w:rsidRPr="00A87BD6" w:rsidRDefault="00A87BD6" w:rsidP="00A87BD6">
      <w:pPr>
        <w:ind w:firstLine="709"/>
        <w:jc w:val="both"/>
        <w:rPr>
          <w:szCs w:val="28"/>
        </w:rPr>
      </w:pPr>
      <w:r w:rsidRPr="00A87BD6">
        <w:rPr>
          <w:szCs w:val="28"/>
        </w:rPr>
        <w:t>5.5. Выдавать предостережения о недопустимости нарушений лицензионных требований;</w:t>
      </w:r>
    </w:p>
    <w:p w:rsidR="00A87BD6" w:rsidRPr="00A87BD6" w:rsidRDefault="00A87BD6" w:rsidP="00A87BD6">
      <w:pPr>
        <w:ind w:firstLine="709"/>
        <w:jc w:val="both"/>
        <w:rPr>
          <w:szCs w:val="28"/>
        </w:rPr>
      </w:pPr>
      <w:r w:rsidRPr="00A87BD6">
        <w:rPr>
          <w:szCs w:val="28"/>
        </w:rPr>
        <w:t xml:space="preserve">5.6. Вносить в отношении должностного </w:t>
      </w:r>
      <w:proofErr w:type="gramStart"/>
      <w:r w:rsidRPr="00A87BD6">
        <w:rPr>
          <w:szCs w:val="28"/>
        </w:rPr>
        <w:t>и(</w:t>
      </w:r>
      <w:proofErr w:type="gramEnd"/>
      <w:r w:rsidRPr="00A87BD6">
        <w:rPr>
          <w:szCs w:val="28"/>
        </w:rPr>
        <w:t xml:space="preserve">или) юридического лиц в соответствии с </w:t>
      </w:r>
      <w:proofErr w:type="spellStart"/>
      <w:r w:rsidRPr="00A87BD6">
        <w:rPr>
          <w:szCs w:val="28"/>
        </w:rPr>
        <w:t>КоАП</w:t>
      </w:r>
      <w:proofErr w:type="spellEnd"/>
      <w:r w:rsidRPr="00A87BD6">
        <w:rPr>
          <w:szCs w:val="28"/>
        </w:rPr>
        <w:t xml:space="preserve"> РФ представление об устранении причин и условий, способствовавших совершению административного правонарушения.  </w:t>
      </w:r>
    </w:p>
    <w:p w:rsidR="00A87BD6" w:rsidRPr="00A87BD6" w:rsidRDefault="00A87BD6" w:rsidP="00A87BD6">
      <w:pPr>
        <w:ind w:firstLine="709"/>
        <w:jc w:val="both"/>
        <w:rPr>
          <w:szCs w:val="28"/>
        </w:rPr>
      </w:pPr>
      <w:bookmarkStart w:id="0" w:name="sub_1013"/>
      <w:r w:rsidRPr="00A87BD6">
        <w:rPr>
          <w:szCs w:val="28"/>
        </w:rPr>
        <w:t xml:space="preserve">5.7. Обращаться </w:t>
      </w:r>
      <w:proofErr w:type="gramStart"/>
      <w:r w:rsidRPr="00A87BD6">
        <w:rPr>
          <w:szCs w:val="28"/>
        </w:rPr>
        <w:t>в суд с иском об аннулировании лицензии на осуществление деятельности в области</w:t>
      </w:r>
      <w:proofErr w:type="gramEnd"/>
      <w:r w:rsidRPr="00A87BD6">
        <w:rPr>
          <w:szCs w:val="28"/>
        </w:rPr>
        <w:t xml:space="preserve"> оказания услуг связи в порядке, установленном Федеральной службой по надзору в сфере связи, информационных технологий и массовых коммуникаций.</w:t>
      </w:r>
    </w:p>
    <w:bookmarkEnd w:id="0"/>
    <w:p w:rsidR="00A87BD6" w:rsidRPr="00A87BD6" w:rsidRDefault="00A87BD6" w:rsidP="00A87BD6">
      <w:pPr>
        <w:ind w:firstLine="709"/>
        <w:jc w:val="both"/>
        <w:rPr>
          <w:szCs w:val="28"/>
        </w:rPr>
      </w:pPr>
      <w:r w:rsidRPr="00A87BD6">
        <w:rPr>
          <w:szCs w:val="28"/>
        </w:rPr>
        <w:t>5.8. Вносить в установленном порядке в  Федеральную службу по надзору в сфере связи, информационных технологий и массовых коммуникаций предложения о приостановлении действия лицензий, возобновлений их действия и аннулировании лицензий в установленной сфере деятельности.</w:t>
      </w:r>
    </w:p>
    <w:p w:rsidR="00A87BD6" w:rsidRPr="00A87BD6" w:rsidRDefault="00A87BD6" w:rsidP="00A87BD6">
      <w:pPr>
        <w:ind w:firstLine="709"/>
        <w:jc w:val="both"/>
        <w:rPr>
          <w:szCs w:val="28"/>
        </w:rPr>
      </w:pPr>
      <w:r w:rsidRPr="00A87BD6">
        <w:rPr>
          <w:szCs w:val="28"/>
        </w:rPr>
        <w:t>5.9. Вносить в установленном порядке в  Федеральную службу по надзору в сфере связи, информационных технологий и массовых коммуникаций предложения о приостановлении (прекращении) действия разрешений на использование радиочастот или радиочастотных каналов, а также о возобновлении их действия.</w:t>
      </w:r>
    </w:p>
    <w:p w:rsidR="00A87BD6" w:rsidRPr="00A87BD6" w:rsidRDefault="00A87BD6" w:rsidP="00A87BD6">
      <w:pPr>
        <w:ind w:firstLine="709"/>
        <w:jc w:val="both"/>
        <w:rPr>
          <w:szCs w:val="28"/>
        </w:rPr>
      </w:pPr>
      <w:r w:rsidRPr="00A87BD6">
        <w:rPr>
          <w:szCs w:val="28"/>
        </w:rPr>
        <w:t>6. Работа по обращениям граждан.</w:t>
      </w:r>
    </w:p>
    <w:p w:rsidR="00A87BD6" w:rsidRPr="00A87BD6" w:rsidRDefault="00A87BD6" w:rsidP="00A87BD6">
      <w:pPr>
        <w:ind w:firstLine="709"/>
        <w:jc w:val="both"/>
        <w:rPr>
          <w:szCs w:val="28"/>
        </w:rPr>
      </w:pPr>
      <w:r w:rsidRPr="00A87BD6">
        <w:rPr>
          <w:szCs w:val="28"/>
        </w:rPr>
        <w:t>7. Хранение и распределение материально-технических ресурсов.</w:t>
      </w:r>
    </w:p>
    <w:p w:rsidR="00AA0650" w:rsidRPr="00643CE5" w:rsidRDefault="00AA0650" w:rsidP="00CC109C">
      <w:pPr>
        <w:pStyle w:val="ac"/>
        <w:tabs>
          <w:tab w:val="left" w:pos="993"/>
          <w:tab w:val="left" w:pos="1080"/>
        </w:tabs>
        <w:spacing w:line="360" w:lineRule="auto"/>
        <w:ind w:left="993"/>
      </w:pPr>
    </w:p>
    <w:sectPr w:rsidR="00AA0650" w:rsidRPr="00643CE5" w:rsidSect="00297C5A">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89" w:rsidRDefault="00E34A89" w:rsidP="00F82C4C">
      <w:r>
        <w:separator/>
      </w:r>
    </w:p>
  </w:endnote>
  <w:endnote w:type="continuationSeparator" w:id="0">
    <w:p w:rsidR="00E34A89" w:rsidRDefault="00E34A89" w:rsidP="00F82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89" w:rsidRDefault="00E34A89" w:rsidP="00F82C4C">
      <w:r>
        <w:separator/>
      </w:r>
    </w:p>
  </w:footnote>
  <w:footnote w:type="continuationSeparator" w:id="0">
    <w:p w:rsidR="00E34A89" w:rsidRDefault="00E34A89" w:rsidP="00F82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34651"/>
      <w:docPartObj>
        <w:docPartGallery w:val="Page Numbers (Top of Page)"/>
        <w:docPartUnique/>
      </w:docPartObj>
    </w:sdtPr>
    <w:sdtContent>
      <w:p w:rsidR="00E34A89" w:rsidRPr="00AA0650" w:rsidRDefault="00E34A89" w:rsidP="00AA0650">
        <w:pPr>
          <w:pStyle w:val="a6"/>
          <w:tabs>
            <w:tab w:val="left" w:pos="3375"/>
            <w:tab w:val="center" w:pos="4818"/>
          </w:tabs>
        </w:pPr>
        <w:r>
          <w:tab/>
        </w:r>
        <w:r>
          <w:tab/>
        </w:r>
        <w:r>
          <w:tab/>
        </w:r>
        <w:fldSimple w:instr="PAGE   \* MERGEFORMAT">
          <w:r w:rsidR="000E4DA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0AF4"/>
    <w:multiLevelType w:val="hybridMultilevel"/>
    <w:tmpl w:val="D8908564"/>
    <w:lvl w:ilvl="0" w:tplc="DB62C55C">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232" w:hanging="360"/>
      </w:pPr>
      <w:rPr>
        <w:rFonts w:cs="Times New Roman"/>
      </w:rPr>
    </w:lvl>
    <w:lvl w:ilvl="2" w:tplc="0409001B" w:tentative="1">
      <w:start w:val="1"/>
      <w:numFmt w:val="lowerRoman"/>
      <w:lvlText w:val="%3."/>
      <w:lvlJc w:val="right"/>
      <w:pPr>
        <w:ind w:left="1952" w:hanging="180"/>
      </w:pPr>
      <w:rPr>
        <w:rFonts w:cs="Times New Roman"/>
      </w:rPr>
    </w:lvl>
    <w:lvl w:ilvl="3" w:tplc="0409000F" w:tentative="1">
      <w:start w:val="1"/>
      <w:numFmt w:val="decimal"/>
      <w:lvlText w:val="%4."/>
      <w:lvlJc w:val="left"/>
      <w:pPr>
        <w:ind w:left="2672" w:hanging="360"/>
      </w:pPr>
      <w:rPr>
        <w:rFonts w:cs="Times New Roman"/>
      </w:rPr>
    </w:lvl>
    <w:lvl w:ilvl="4" w:tplc="04090019" w:tentative="1">
      <w:start w:val="1"/>
      <w:numFmt w:val="lowerLetter"/>
      <w:lvlText w:val="%5."/>
      <w:lvlJc w:val="left"/>
      <w:pPr>
        <w:ind w:left="3392" w:hanging="360"/>
      </w:pPr>
      <w:rPr>
        <w:rFonts w:cs="Times New Roman"/>
      </w:rPr>
    </w:lvl>
    <w:lvl w:ilvl="5" w:tplc="0409001B" w:tentative="1">
      <w:start w:val="1"/>
      <w:numFmt w:val="lowerRoman"/>
      <w:lvlText w:val="%6."/>
      <w:lvlJc w:val="right"/>
      <w:pPr>
        <w:ind w:left="4112" w:hanging="180"/>
      </w:pPr>
      <w:rPr>
        <w:rFonts w:cs="Times New Roman"/>
      </w:rPr>
    </w:lvl>
    <w:lvl w:ilvl="6" w:tplc="0409000F" w:tentative="1">
      <w:start w:val="1"/>
      <w:numFmt w:val="decimal"/>
      <w:lvlText w:val="%7."/>
      <w:lvlJc w:val="left"/>
      <w:pPr>
        <w:ind w:left="4832" w:hanging="360"/>
      </w:pPr>
      <w:rPr>
        <w:rFonts w:cs="Times New Roman"/>
      </w:rPr>
    </w:lvl>
    <w:lvl w:ilvl="7" w:tplc="04090019" w:tentative="1">
      <w:start w:val="1"/>
      <w:numFmt w:val="lowerLetter"/>
      <w:lvlText w:val="%8."/>
      <w:lvlJc w:val="left"/>
      <w:pPr>
        <w:ind w:left="5552" w:hanging="360"/>
      </w:pPr>
      <w:rPr>
        <w:rFonts w:cs="Times New Roman"/>
      </w:rPr>
    </w:lvl>
    <w:lvl w:ilvl="8" w:tplc="0409001B" w:tentative="1">
      <w:start w:val="1"/>
      <w:numFmt w:val="lowerRoman"/>
      <w:lvlText w:val="%9."/>
      <w:lvlJc w:val="right"/>
      <w:pPr>
        <w:ind w:left="6272" w:hanging="180"/>
      </w:pPr>
      <w:rPr>
        <w:rFonts w:cs="Times New Roman"/>
      </w:rPr>
    </w:lvl>
  </w:abstractNum>
  <w:abstractNum w:abstractNumId="1">
    <w:nsid w:val="50936856"/>
    <w:multiLevelType w:val="hybridMultilevel"/>
    <w:tmpl w:val="6DA0EF5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hdrShapeDefaults>
    <o:shapedefaults v:ext="edit" spidmax="31745"/>
  </w:hdrShapeDefaults>
  <w:footnotePr>
    <w:footnote w:id="-1"/>
    <w:footnote w:id="0"/>
  </w:footnotePr>
  <w:endnotePr>
    <w:endnote w:id="-1"/>
    <w:endnote w:id="0"/>
  </w:endnotePr>
  <w:compat/>
  <w:rsids>
    <w:rsidRoot w:val="00E6678F"/>
    <w:rsid w:val="00040E1C"/>
    <w:rsid w:val="00086DAE"/>
    <w:rsid w:val="000E0580"/>
    <w:rsid w:val="000E4DAD"/>
    <w:rsid w:val="000E7720"/>
    <w:rsid w:val="00143417"/>
    <w:rsid w:val="00177B2B"/>
    <w:rsid w:val="00201C16"/>
    <w:rsid w:val="00226CC1"/>
    <w:rsid w:val="002622F7"/>
    <w:rsid w:val="00297C5A"/>
    <w:rsid w:val="002B1D52"/>
    <w:rsid w:val="002D0DF4"/>
    <w:rsid w:val="002E55DD"/>
    <w:rsid w:val="003464C3"/>
    <w:rsid w:val="003A13B8"/>
    <w:rsid w:val="003B0652"/>
    <w:rsid w:val="003C20A4"/>
    <w:rsid w:val="004019EB"/>
    <w:rsid w:val="00444847"/>
    <w:rsid w:val="004475D2"/>
    <w:rsid w:val="004A68FF"/>
    <w:rsid w:val="00533851"/>
    <w:rsid w:val="00534EEC"/>
    <w:rsid w:val="0056172E"/>
    <w:rsid w:val="005D4A69"/>
    <w:rsid w:val="00643CE5"/>
    <w:rsid w:val="006647F1"/>
    <w:rsid w:val="0069460B"/>
    <w:rsid w:val="006B4515"/>
    <w:rsid w:val="006F582E"/>
    <w:rsid w:val="00765EE4"/>
    <w:rsid w:val="007C4CAB"/>
    <w:rsid w:val="007E0381"/>
    <w:rsid w:val="007F693A"/>
    <w:rsid w:val="0080082A"/>
    <w:rsid w:val="00811E70"/>
    <w:rsid w:val="008832A0"/>
    <w:rsid w:val="008C501A"/>
    <w:rsid w:val="008F6016"/>
    <w:rsid w:val="009A6288"/>
    <w:rsid w:val="00A103F8"/>
    <w:rsid w:val="00A264E5"/>
    <w:rsid w:val="00A87BD6"/>
    <w:rsid w:val="00AA0650"/>
    <w:rsid w:val="00AE7D79"/>
    <w:rsid w:val="00BB5865"/>
    <w:rsid w:val="00C657CA"/>
    <w:rsid w:val="00C7098C"/>
    <w:rsid w:val="00C766F8"/>
    <w:rsid w:val="00CC109C"/>
    <w:rsid w:val="00D51B78"/>
    <w:rsid w:val="00D560A7"/>
    <w:rsid w:val="00D640AD"/>
    <w:rsid w:val="00D84BE3"/>
    <w:rsid w:val="00DF7D8F"/>
    <w:rsid w:val="00E34A89"/>
    <w:rsid w:val="00E6678F"/>
    <w:rsid w:val="00F36603"/>
    <w:rsid w:val="00F82C4C"/>
    <w:rsid w:val="00FD7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643CE5"/>
    <w:pPr>
      <w:jc w:val="both"/>
    </w:pPr>
    <w:rPr>
      <w:rFonts w:eastAsia="Calibri"/>
      <w:sz w:val="20"/>
      <w:szCs w:val="20"/>
    </w:rPr>
  </w:style>
  <w:style w:type="character" w:customStyle="1" w:styleId="ad">
    <w:name w:val="Текст сноски Знак"/>
    <w:basedOn w:val="a0"/>
    <w:link w:val="ac"/>
    <w:semiHidden/>
    <w:rsid w:val="00643CE5"/>
    <w:rPr>
      <w:rFonts w:ascii="Times New Roman" w:eastAsia="Calibri" w:hAnsi="Times New Roman" w:cs="Times New Roman"/>
      <w:sz w:val="20"/>
      <w:szCs w:val="20"/>
      <w:lang w:eastAsia="ru-RU"/>
    </w:rPr>
  </w:style>
  <w:style w:type="paragraph" w:styleId="ae">
    <w:name w:val="List Paragraph"/>
    <w:basedOn w:val="a"/>
    <w:uiPriority w:val="34"/>
    <w:qFormat/>
    <w:rsid w:val="00643CE5"/>
    <w:pPr>
      <w:ind w:left="720"/>
      <w:contextualSpacing/>
    </w:pPr>
    <w:rPr>
      <w:sz w:val="24"/>
    </w:rPr>
  </w:style>
  <w:style w:type="character" w:customStyle="1" w:styleId="af">
    <w:name w:val="Гипертекстовая ссылка"/>
    <w:basedOn w:val="a0"/>
    <w:uiPriority w:val="99"/>
    <w:rsid w:val="00CC109C"/>
    <w:rPr>
      <w:color w:val="008000"/>
    </w:rPr>
  </w:style>
</w:styles>
</file>

<file path=word/stylesWithEffects.xml><?xml version="1.0" encoding="utf-8"?>
<w:styles xmlns:w="http://schemas.openxmlformats.org/wordprocessingml/2006/main"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mc:Ignorable="w14 wp14">
  <w:docDefaults>
    <w:rPrDefault>
      <w:rPr>
        <w:rFonts w:asciiTheme="minorHAnsi" w:cstheme="minorBidi" w:eastAsiaTheme="minorHAnsi" w:hAnsiTheme="minorHAnsi"/>
        <w:sz w:val="22"/>
        <w:szCs w:val="22"/>
        <w:lang w:bidi="ar-SA" w:eastAsia="en-US"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F82C4C"/>
    <w:pPr>
      <w:spacing w:after="0" w:line="240" w:lineRule="auto"/>
    </w:pPr>
    <w:rPr>
      <w:rFonts w:ascii="Times New Roman" w:cs="Times New Roman" w:eastAsia="Times New Roman" w:hAnsi="Times New Roman"/>
      <w:sz w:val="28"/>
      <w:szCs w:val="24"/>
      <w:lang w:eastAsia="ru-RU"/>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Balloon Text"/>
    <w:basedOn w:val="a"/>
    <w:link w:val="a4"/>
    <w:uiPriority w:val="99"/>
    <w:semiHidden/>
    <w:unhideWhenUsed/>
    <w:rsid w:val="00C766F8"/>
    <w:rPr>
      <w:rFonts w:ascii="Tahoma" w:cs="Tahoma" w:hAnsi="Tahoma"/>
      <w:sz w:val="16"/>
      <w:szCs w:val="16"/>
    </w:rPr>
  </w:style>
  <w:style w:customStyle="1" w:styleId="a4" w:type="character">
    <w:name w:val="Текст выноски Знак"/>
    <w:basedOn w:val="a0"/>
    <w:link w:val="a3"/>
    <w:uiPriority w:val="99"/>
    <w:semiHidden/>
    <w:rsid w:val="00C766F8"/>
    <w:rPr>
      <w:rFonts w:ascii="Tahoma" w:cs="Tahoma" w:eastAsia="Times New Roman" w:hAnsi="Tahoma"/>
      <w:sz w:val="16"/>
      <w:szCs w:val="16"/>
      <w:lang w:eastAsia="ru-RU"/>
    </w:rPr>
  </w:style>
  <w:style w:styleId="a5" w:type="character">
    <w:name w:val="Placeholder Text"/>
    <w:basedOn w:val="a0"/>
    <w:uiPriority w:val="99"/>
    <w:semiHidden/>
    <w:rsid w:val="00C766F8"/>
    <w:rPr>
      <w:color w:val="808080"/>
    </w:rPr>
  </w:style>
  <w:style w:styleId="a6" w:type="paragraph">
    <w:name w:val="header"/>
    <w:basedOn w:val="a"/>
    <w:link w:val="a7"/>
    <w:uiPriority w:val="99"/>
    <w:unhideWhenUsed/>
    <w:rsid w:val="00F82C4C"/>
    <w:pPr>
      <w:tabs>
        <w:tab w:pos="4677" w:val="center"/>
        <w:tab w:pos="9355" w:val="right"/>
      </w:tabs>
    </w:pPr>
  </w:style>
  <w:style w:customStyle="1" w:styleId="a7" w:type="character">
    <w:name w:val="Верхний колонтитул Знак"/>
    <w:basedOn w:val="a0"/>
    <w:link w:val="a6"/>
    <w:uiPriority w:val="99"/>
    <w:rsid w:val="00F82C4C"/>
    <w:rPr>
      <w:rFonts w:ascii="Times New Roman" w:cs="Times New Roman" w:eastAsia="Times New Roman" w:hAnsi="Times New Roman"/>
      <w:sz w:val="24"/>
      <w:szCs w:val="24"/>
      <w:lang w:eastAsia="ru-RU"/>
    </w:rPr>
  </w:style>
  <w:style w:styleId="a8" w:type="paragraph">
    <w:name w:val="footer"/>
    <w:basedOn w:val="a"/>
    <w:link w:val="a9"/>
    <w:uiPriority w:val="99"/>
    <w:unhideWhenUsed/>
    <w:rsid w:val="00F82C4C"/>
    <w:pPr>
      <w:tabs>
        <w:tab w:pos="4677" w:val="center"/>
        <w:tab w:pos="9355" w:val="right"/>
      </w:tabs>
    </w:pPr>
  </w:style>
  <w:style w:customStyle="1" w:styleId="a9" w:type="character">
    <w:name w:val="Нижний колонтитул Знак"/>
    <w:basedOn w:val="a0"/>
    <w:link w:val="a8"/>
    <w:uiPriority w:val="99"/>
    <w:rsid w:val="00F82C4C"/>
    <w:rPr>
      <w:rFonts w:ascii="Times New Roman" w:cs="Times New Roman" w:eastAsia="Times New Roman" w:hAnsi="Times New Roman"/>
      <w:sz w:val="24"/>
      <w:szCs w:val="24"/>
      <w:lang w:eastAsia="ru-RU"/>
    </w:rPr>
  </w:style>
  <w:style w:styleId="aa" w:type="character">
    <w:name w:val="Hyperlink"/>
    <w:basedOn w:val="a0"/>
    <w:uiPriority w:val="99"/>
    <w:unhideWhenUsed/>
    <w:rsid w:val="00F82C4C"/>
    <w:rPr>
      <w:color w:themeColor="hyperlink" w:val="0000FF"/>
      <w:u w:val="single"/>
    </w:rPr>
  </w:style>
  <w:style w:styleId="ab" w:type="table">
    <w:name w:val="Table Grid"/>
    <w:basedOn w:val="a1"/>
    <w:uiPriority w:val="59"/>
    <w:rsid w:val="004A68FF"/>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24FB93E-2F28-4D04-A0F2-770BB3E05A5F}">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Novikova</cp:lastModifiedBy>
  <cp:revision>5</cp:revision>
  <cp:lastPrinted>2023-12-18T14:43:00Z</cp:lastPrinted>
  <dcterms:created xsi:type="dcterms:W3CDTF">2021-02-05T08:25:00Z</dcterms:created>
  <dcterms:modified xsi:type="dcterms:W3CDTF">2023-12-18T14:43:00Z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